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5FA2" w:rsidRDefault="008C5FA2" w:rsidP="0017504F">
      <w:pPr>
        <w:pStyle w:val="Default"/>
        <w:jc w:val="center"/>
        <w:rPr>
          <w:b/>
          <w:bCs/>
          <w:sz w:val="28"/>
          <w:szCs w:val="28"/>
        </w:rPr>
      </w:pPr>
    </w:p>
    <w:p w:rsidR="0017504F" w:rsidRPr="0017504F" w:rsidRDefault="0017504F" w:rsidP="0017504F">
      <w:pPr>
        <w:pStyle w:val="Default"/>
        <w:jc w:val="center"/>
        <w:rPr>
          <w:b/>
          <w:bCs/>
          <w:sz w:val="28"/>
          <w:szCs w:val="28"/>
        </w:rPr>
      </w:pPr>
      <w:r w:rsidRPr="0017504F">
        <w:rPr>
          <w:b/>
          <w:bCs/>
          <w:sz w:val="28"/>
          <w:szCs w:val="28"/>
        </w:rPr>
        <w:t>Expression and purification of human calprotectin (S100A8/S100A9) and study of its effects on AGS gastric cancer cell line</w:t>
      </w:r>
    </w:p>
    <w:p w:rsidR="0017504F" w:rsidRDefault="0017504F" w:rsidP="0017504F">
      <w:pPr>
        <w:pStyle w:val="Default"/>
        <w:rPr>
          <w:sz w:val="23"/>
          <w:szCs w:val="23"/>
        </w:rPr>
      </w:pPr>
    </w:p>
    <w:p w:rsidR="0017504F" w:rsidRPr="0017504F" w:rsidRDefault="0017504F" w:rsidP="0017504F">
      <w:pPr>
        <w:autoSpaceDE w:val="0"/>
        <w:autoSpaceDN w:val="0"/>
        <w:adjustRightInd w:val="0"/>
        <w:spacing w:after="0"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proofErr w:type="spellStart"/>
      <w:r w:rsidRPr="0017504F">
        <w:rPr>
          <w:rFonts w:asciiTheme="majorBidi" w:hAnsiTheme="majorBidi" w:cstheme="majorBidi"/>
          <w:b/>
          <w:bCs/>
          <w:sz w:val="24"/>
          <w:szCs w:val="24"/>
        </w:rPr>
        <w:t>Fatemeh</w:t>
      </w:r>
      <w:proofErr w:type="spellEnd"/>
      <w:r w:rsidRPr="0017504F">
        <w:rPr>
          <w:rFonts w:asciiTheme="majorBidi" w:hAnsiTheme="majorBidi" w:cstheme="majorBidi"/>
          <w:b/>
          <w:bCs/>
          <w:sz w:val="24"/>
          <w:szCs w:val="24"/>
        </w:rPr>
        <w:t xml:space="preserve"> Shabani</w:t>
      </w:r>
      <w:r w:rsidRPr="0017504F">
        <w:rPr>
          <w:rFonts w:asciiTheme="majorBidi" w:hAnsiTheme="majorBidi" w:cstheme="majorBidi"/>
          <w:b/>
          <w:bCs/>
          <w:sz w:val="24"/>
          <w:szCs w:val="24"/>
          <w:vertAlign w:val="superscript"/>
        </w:rPr>
        <w:t>1</w:t>
      </w:r>
      <w:r w:rsidRPr="0017504F">
        <w:rPr>
          <w:rFonts w:asciiTheme="majorBidi" w:hAnsiTheme="majorBidi" w:cstheme="majorBidi"/>
          <w:b/>
          <w:bCs/>
          <w:sz w:val="24"/>
          <w:szCs w:val="24"/>
        </w:rPr>
        <w:t>|Majid Mahdavi</w:t>
      </w:r>
      <w:r w:rsidRPr="0017504F">
        <w:rPr>
          <w:rFonts w:asciiTheme="majorBidi" w:hAnsiTheme="majorBidi" w:cstheme="majorBidi"/>
          <w:b/>
          <w:bCs/>
          <w:sz w:val="24"/>
          <w:szCs w:val="24"/>
          <w:vertAlign w:val="superscript"/>
        </w:rPr>
        <w:t xml:space="preserve">1 </w:t>
      </w:r>
      <w:r w:rsidRPr="0017504F">
        <w:rPr>
          <w:rFonts w:asciiTheme="majorBidi" w:hAnsiTheme="majorBidi" w:cstheme="majorBidi"/>
          <w:b/>
          <w:bCs/>
          <w:sz w:val="24"/>
          <w:szCs w:val="24"/>
        </w:rPr>
        <w:t>|</w:t>
      </w:r>
      <w:proofErr w:type="spellStart"/>
      <w:r w:rsidRPr="0017504F">
        <w:rPr>
          <w:rFonts w:asciiTheme="majorBidi" w:hAnsiTheme="majorBidi" w:cstheme="majorBidi"/>
          <w:b/>
          <w:bCs/>
          <w:sz w:val="24"/>
          <w:szCs w:val="24"/>
        </w:rPr>
        <w:t>Nematollah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17504F">
        <w:rPr>
          <w:rFonts w:asciiTheme="majorBidi" w:hAnsiTheme="majorBidi" w:cstheme="majorBidi"/>
          <w:b/>
          <w:bCs/>
          <w:sz w:val="24"/>
          <w:szCs w:val="24"/>
        </w:rPr>
        <w:t>Gheibi</w:t>
      </w:r>
      <w:r w:rsidRPr="0017504F">
        <w:rPr>
          <w:rFonts w:asciiTheme="majorBidi" w:hAnsiTheme="majorBidi" w:cstheme="majorBidi"/>
          <w:b/>
          <w:bCs/>
          <w:sz w:val="24"/>
          <w:szCs w:val="24"/>
          <w:vertAlign w:val="superscript"/>
        </w:rPr>
        <w:t>2</w:t>
      </w:r>
    </w:p>
    <w:p w:rsidR="0017504F" w:rsidRPr="0017504F" w:rsidRDefault="0017504F" w:rsidP="0017504F">
      <w:pPr>
        <w:autoSpaceDE w:val="0"/>
        <w:autoSpaceDN w:val="0"/>
        <w:adjustRightInd w:val="0"/>
        <w:spacing w:after="0" w:line="360" w:lineRule="auto"/>
        <w:jc w:val="center"/>
        <w:rPr>
          <w:rFonts w:asciiTheme="majorBidi" w:hAnsiTheme="majorBidi" w:cstheme="majorBidi"/>
        </w:rPr>
      </w:pPr>
      <w:r w:rsidRPr="0017504F">
        <w:rPr>
          <w:rFonts w:asciiTheme="majorBidi" w:hAnsiTheme="majorBidi" w:cstheme="majorBidi"/>
        </w:rPr>
        <w:t>1 Department of Biology, Faculty of Natural Science, University of Tabriz, Tabriz, Iran</w:t>
      </w:r>
    </w:p>
    <w:p w:rsidR="0017504F" w:rsidRDefault="0017504F" w:rsidP="0017504F">
      <w:pPr>
        <w:autoSpaceDE w:val="0"/>
        <w:autoSpaceDN w:val="0"/>
        <w:adjustRightInd w:val="0"/>
        <w:spacing w:after="0" w:line="360" w:lineRule="auto"/>
        <w:jc w:val="center"/>
        <w:rPr>
          <w:rFonts w:asciiTheme="majorBidi" w:hAnsiTheme="majorBidi" w:cstheme="majorBidi"/>
        </w:rPr>
      </w:pPr>
      <w:r w:rsidRPr="0017504F">
        <w:rPr>
          <w:rFonts w:asciiTheme="majorBidi" w:hAnsiTheme="majorBidi" w:cstheme="majorBidi"/>
        </w:rPr>
        <w:t>2 Cellular and Molecular Research Center, Qazvin University of Medical Sciences, Qazvin, Iran</w:t>
      </w:r>
    </w:p>
    <w:p w:rsidR="0017504F" w:rsidRDefault="0017504F" w:rsidP="0017504F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</w:rPr>
      </w:pPr>
    </w:p>
    <w:p w:rsidR="0017504F" w:rsidRPr="0017504F" w:rsidRDefault="0017504F" w:rsidP="0017504F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</w:rPr>
      </w:pPr>
      <w:r w:rsidRPr="00980209">
        <w:rPr>
          <w:rFonts w:ascii="Times New Roman" w:hAnsi="Times New Roman" w:cs="Times New Roman"/>
          <w:b/>
          <w:bCs/>
          <w:sz w:val="28"/>
          <w:szCs w:val="28"/>
          <w:lang w:bidi="fa-IR"/>
        </w:rPr>
        <w:t>ABSTRACT</w:t>
      </w:r>
    </w:p>
    <w:p w:rsidR="0017504F" w:rsidRDefault="0017504F" w:rsidP="0017504F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17504F">
        <w:rPr>
          <w:rFonts w:asciiTheme="majorBidi" w:hAnsiTheme="majorBidi" w:cstheme="majorBidi"/>
          <w:sz w:val="24"/>
          <w:szCs w:val="24"/>
        </w:rPr>
        <w:t>Calprotectin, a member of S100s proteins, is a heterodimeric complex of EF-hand calcium-binding protein consisting of S100A8 and S100A9 subunits and constitutively expressed by phagocytes</w:t>
      </w:r>
      <w:bookmarkStart w:id="0" w:name="_GoBack"/>
      <w:bookmarkEnd w:id="0"/>
      <w:r w:rsidRPr="0017504F">
        <w:rPr>
          <w:rFonts w:asciiTheme="majorBidi" w:hAnsiTheme="majorBidi" w:cstheme="majorBidi"/>
          <w:sz w:val="24"/>
          <w:szCs w:val="24"/>
        </w:rPr>
        <w:t xml:space="preserve"> like neutrophils and secreted from activated phagocytes. Calprotectin is a key protein between cancer and inflammation. at low concentration, it involves in immune response, survival and proliferation, inflammation and cance</w:t>
      </w:r>
      <w:r>
        <w:rPr>
          <w:rFonts w:asciiTheme="majorBidi" w:hAnsiTheme="majorBidi" w:cstheme="majorBidi"/>
          <w:sz w:val="24"/>
          <w:szCs w:val="24"/>
        </w:rPr>
        <w:t xml:space="preserve">r whereas induces </w:t>
      </w:r>
      <w:r w:rsidRPr="0017504F">
        <w:rPr>
          <w:rFonts w:asciiTheme="majorBidi" w:hAnsiTheme="majorBidi" w:cstheme="majorBidi"/>
          <w:sz w:val="24"/>
          <w:szCs w:val="24"/>
        </w:rPr>
        <w:t xml:space="preserve">apoptosis in higher concentration. Since the cancer cells have developed various mechanisms to resist cell death so apoptosis is known as an efficient strategy for control and treatment of cancer. </w:t>
      </w:r>
    </w:p>
    <w:p w:rsidR="008C5FA2" w:rsidRDefault="0017504F" w:rsidP="00BA164E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17504F">
        <w:rPr>
          <w:rFonts w:asciiTheme="majorBidi" w:hAnsiTheme="majorBidi" w:cstheme="majorBidi"/>
          <w:sz w:val="24"/>
          <w:szCs w:val="24"/>
        </w:rPr>
        <w:t>The transformation of expression vectors of pET15b containing the coding region of S100A8 and S100A9 were used to express the His-tagged fusion proteins by CaCl2/ heat shock method in Escherichia coli BL21 (D</w:t>
      </w:r>
      <w:r>
        <w:rPr>
          <w:rFonts w:asciiTheme="majorBidi" w:hAnsiTheme="majorBidi" w:cstheme="majorBidi"/>
          <w:sz w:val="24"/>
          <w:szCs w:val="24"/>
        </w:rPr>
        <w:t xml:space="preserve">E3) as host cell. Ampicillin </w:t>
      </w:r>
      <w:r w:rsidRPr="0017504F">
        <w:rPr>
          <w:rFonts w:asciiTheme="majorBidi" w:hAnsiTheme="majorBidi" w:cstheme="majorBidi"/>
          <w:sz w:val="24"/>
          <w:szCs w:val="24"/>
        </w:rPr>
        <w:t>was utiliz</w:t>
      </w:r>
      <w:r>
        <w:rPr>
          <w:rFonts w:asciiTheme="majorBidi" w:hAnsiTheme="majorBidi" w:cstheme="majorBidi"/>
          <w:sz w:val="24"/>
          <w:szCs w:val="24"/>
        </w:rPr>
        <w:t>ed as the selective marker and a</w:t>
      </w:r>
      <w:r w:rsidRPr="0017504F">
        <w:rPr>
          <w:rFonts w:asciiTheme="majorBidi" w:hAnsiTheme="majorBidi" w:cstheme="majorBidi"/>
          <w:sz w:val="24"/>
          <w:szCs w:val="24"/>
        </w:rPr>
        <w:t xml:space="preserve"> single colony of recombinant bacterial colonies was cultured </w:t>
      </w:r>
      <w:r w:rsidR="00FC6E2B" w:rsidRPr="00FC6E2B">
        <w:rPr>
          <w:rFonts w:asciiTheme="majorBidi" w:hAnsiTheme="majorBidi" w:cstheme="majorBidi"/>
          <w:sz w:val="24"/>
          <w:szCs w:val="24"/>
        </w:rPr>
        <w:t>in an IPTG-inducible expression medium</w:t>
      </w:r>
      <w:r w:rsidR="00FC6E2B">
        <w:rPr>
          <w:rFonts w:asciiTheme="majorBidi" w:hAnsiTheme="majorBidi" w:cstheme="majorBidi" w:hint="cs"/>
          <w:sz w:val="24"/>
          <w:szCs w:val="24"/>
          <w:rtl/>
        </w:rPr>
        <w:t>.</w:t>
      </w:r>
      <w:r w:rsidR="00FC6E2B" w:rsidRPr="00FC6E2B">
        <w:rPr>
          <w:rFonts w:asciiTheme="majorBidi" w:hAnsiTheme="majorBidi" w:cstheme="majorBidi"/>
          <w:sz w:val="24"/>
          <w:szCs w:val="24"/>
        </w:rPr>
        <w:t xml:space="preserve"> </w:t>
      </w:r>
      <w:r w:rsidR="00FC6E2B">
        <w:rPr>
          <w:rFonts w:asciiTheme="majorBidi" w:hAnsiTheme="majorBidi" w:cstheme="majorBidi"/>
          <w:sz w:val="24"/>
          <w:szCs w:val="24"/>
        </w:rPr>
        <w:t>Cells were harvested and</w:t>
      </w:r>
      <w:r w:rsidRPr="0017504F">
        <w:rPr>
          <w:rFonts w:asciiTheme="majorBidi" w:hAnsiTheme="majorBidi" w:cstheme="majorBidi"/>
          <w:sz w:val="24"/>
          <w:szCs w:val="24"/>
        </w:rPr>
        <w:t xml:space="preserve"> lysed by sonication. The purification of recombinant His-Tagged proteins were performed using Ni-NTA affinity chromatogra</w:t>
      </w:r>
      <w:r w:rsidR="00BA164E">
        <w:rPr>
          <w:rFonts w:asciiTheme="majorBidi" w:hAnsiTheme="majorBidi" w:cstheme="majorBidi"/>
          <w:sz w:val="24"/>
          <w:szCs w:val="24"/>
        </w:rPr>
        <w:t>phy with a 50–200</w:t>
      </w:r>
      <w:r w:rsidRPr="0017504F">
        <w:rPr>
          <w:rFonts w:asciiTheme="majorBidi" w:hAnsiTheme="majorBidi" w:cstheme="majorBidi"/>
          <w:sz w:val="24"/>
          <w:szCs w:val="24"/>
        </w:rPr>
        <w:t>m</w:t>
      </w:r>
      <w:r w:rsidR="00FC6E2B">
        <w:rPr>
          <w:rFonts w:asciiTheme="majorBidi" w:hAnsiTheme="majorBidi" w:cstheme="majorBidi"/>
          <w:sz w:val="24"/>
          <w:szCs w:val="24"/>
        </w:rPr>
        <w:t>M step-wise imidazole gradient</w:t>
      </w:r>
      <w:r w:rsidRPr="0017504F">
        <w:rPr>
          <w:rFonts w:asciiTheme="majorBidi" w:hAnsiTheme="majorBidi" w:cstheme="majorBidi"/>
          <w:sz w:val="24"/>
          <w:szCs w:val="24"/>
        </w:rPr>
        <w:t>. Imidazole was subsequently removed by</w:t>
      </w:r>
      <w:r w:rsidR="00BA164E">
        <w:rPr>
          <w:rFonts w:asciiTheme="majorBidi" w:hAnsiTheme="majorBidi" w:cstheme="majorBidi"/>
          <w:sz w:val="24"/>
          <w:szCs w:val="24"/>
        </w:rPr>
        <w:t xml:space="preserve"> dialysis and purified proteins </w:t>
      </w:r>
      <w:r w:rsidRPr="0017504F">
        <w:rPr>
          <w:rFonts w:asciiTheme="majorBidi" w:hAnsiTheme="majorBidi" w:cstheme="majorBidi"/>
          <w:sz w:val="24"/>
          <w:szCs w:val="24"/>
        </w:rPr>
        <w:t>were observed wit</w:t>
      </w:r>
      <w:r w:rsidR="00BA164E">
        <w:rPr>
          <w:rFonts w:asciiTheme="majorBidi" w:hAnsiTheme="majorBidi" w:cstheme="majorBidi"/>
          <w:sz w:val="24"/>
          <w:szCs w:val="24"/>
        </w:rPr>
        <w:t>h the SDSPAGE</w:t>
      </w:r>
      <w:r w:rsidR="008C5FA2">
        <w:rPr>
          <w:rFonts w:asciiTheme="majorBidi" w:hAnsiTheme="majorBidi" w:cstheme="majorBidi"/>
          <w:sz w:val="24"/>
          <w:szCs w:val="24"/>
        </w:rPr>
        <w:t>.</w:t>
      </w:r>
    </w:p>
    <w:p w:rsidR="00966B85" w:rsidRDefault="00BA164E" w:rsidP="00BA164E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BA164E">
        <w:rPr>
          <w:rFonts w:asciiTheme="majorBidi" w:hAnsiTheme="majorBidi" w:cstheme="majorBidi"/>
          <w:sz w:val="24"/>
          <w:szCs w:val="24"/>
        </w:rPr>
        <w:t xml:space="preserve">gastric adenocarcinoma </w:t>
      </w:r>
      <w:r>
        <w:rPr>
          <w:rFonts w:asciiTheme="majorBidi" w:hAnsiTheme="majorBidi" w:cstheme="majorBidi"/>
          <w:sz w:val="24"/>
          <w:szCs w:val="24"/>
        </w:rPr>
        <w:t>(</w:t>
      </w:r>
      <w:r w:rsidRPr="00BA164E">
        <w:rPr>
          <w:rFonts w:asciiTheme="majorBidi" w:hAnsiTheme="majorBidi" w:cstheme="majorBidi"/>
          <w:sz w:val="24"/>
          <w:szCs w:val="24"/>
        </w:rPr>
        <w:t>AGS</w:t>
      </w:r>
      <w:r>
        <w:rPr>
          <w:rFonts w:asciiTheme="majorBidi" w:hAnsiTheme="majorBidi" w:cstheme="majorBidi"/>
          <w:sz w:val="24"/>
          <w:szCs w:val="24"/>
        </w:rPr>
        <w:t>)</w:t>
      </w:r>
      <w:r w:rsidRPr="00BA164E">
        <w:rPr>
          <w:rFonts w:asciiTheme="majorBidi" w:hAnsiTheme="majorBidi" w:cstheme="majorBidi"/>
          <w:sz w:val="24"/>
          <w:szCs w:val="24"/>
        </w:rPr>
        <w:t xml:space="preserve"> cell</w:t>
      </w:r>
      <w:r>
        <w:rPr>
          <w:rFonts w:asciiTheme="majorBidi" w:hAnsiTheme="majorBidi" w:cstheme="majorBidi"/>
          <w:sz w:val="24"/>
          <w:szCs w:val="24"/>
        </w:rPr>
        <w:t>s</w:t>
      </w:r>
      <w:r w:rsidRPr="00BA164E">
        <w:rPr>
          <w:rFonts w:asciiTheme="majorBidi" w:hAnsiTheme="majorBidi" w:cstheme="majorBidi"/>
          <w:sz w:val="24"/>
          <w:szCs w:val="24"/>
        </w:rPr>
        <w:t xml:space="preserve"> </w:t>
      </w:r>
      <w:r w:rsidR="0017504F" w:rsidRPr="0017504F">
        <w:rPr>
          <w:rFonts w:asciiTheme="majorBidi" w:hAnsiTheme="majorBidi" w:cstheme="majorBidi"/>
          <w:sz w:val="24"/>
          <w:szCs w:val="24"/>
        </w:rPr>
        <w:t>were incubated for 24</w:t>
      </w:r>
      <w:r>
        <w:rPr>
          <w:rFonts w:asciiTheme="majorBidi" w:hAnsiTheme="majorBidi" w:cstheme="majorBidi"/>
          <w:sz w:val="24"/>
          <w:szCs w:val="24"/>
        </w:rPr>
        <w:t>h</w:t>
      </w:r>
      <w:r w:rsidR="0017504F" w:rsidRPr="0017504F">
        <w:rPr>
          <w:rFonts w:asciiTheme="majorBidi" w:hAnsiTheme="majorBidi" w:cstheme="majorBidi"/>
          <w:sz w:val="24"/>
          <w:szCs w:val="24"/>
        </w:rPr>
        <w:t>, 48</w:t>
      </w:r>
      <w:r>
        <w:rPr>
          <w:rFonts w:asciiTheme="majorBidi" w:hAnsiTheme="majorBidi" w:cstheme="majorBidi"/>
          <w:sz w:val="24"/>
          <w:szCs w:val="24"/>
        </w:rPr>
        <w:t>h, and 72</w:t>
      </w:r>
      <w:r w:rsidR="0017504F" w:rsidRPr="0017504F">
        <w:rPr>
          <w:rFonts w:asciiTheme="majorBidi" w:hAnsiTheme="majorBidi" w:cstheme="majorBidi"/>
          <w:sz w:val="24"/>
          <w:szCs w:val="24"/>
        </w:rPr>
        <w:t>h with different concentration of recombin</w:t>
      </w:r>
      <w:r w:rsidR="008C5FA2">
        <w:rPr>
          <w:rFonts w:asciiTheme="majorBidi" w:hAnsiTheme="majorBidi" w:cstheme="majorBidi"/>
          <w:sz w:val="24"/>
          <w:szCs w:val="24"/>
        </w:rPr>
        <w:t>ant human calprotectin</w:t>
      </w:r>
      <w:r w:rsidR="0017504F" w:rsidRPr="0017504F">
        <w:rPr>
          <w:rFonts w:asciiTheme="majorBidi" w:hAnsiTheme="majorBidi" w:cstheme="majorBidi"/>
          <w:sz w:val="24"/>
          <w:szCs w:val="24"/>
        </w:rPr>
        <w:t xml:space="preserve"> to evaluate the cytotoxicity effect of calprotect</w:t>
      </w:r>
      <w:r w:rsidR="00FC6E2B">
        <w:rPr>
          <w:rFonts w:asciiTheme="majorBidi" w:hAnsiTheme="majorBidi" w:cstheme="majorBidi"/>
          <w:sz w:val="24"/>
          <w:szCs w:val="24"/>
        </w:rPr>
        <w:t>in. the results of</w:t>
      </w:r>
      <w:r>
        <w:rPr>
          <w:rFonts w:asciiTheme="majorBidi" w:hAnsiTheme="majorBidi" w:cstheme="majorBidi"/>
          <w:sz w:val="24"/>
          <w:szCs w:val="24"/>
        </w:rPr>
        <w:t xml:space="preserve"> MTT-</w:t>
      </w:r>
      <w:r w:rsidR="0017504F" w:rsidRPr="0017504F">
        <w:rPr>
          <w:rFonts w:asciiTheme="majorBidi" w:hAnsiTheme="majorBidi" w:cstheme="majorBidi"/>
          <w:sz w:val="24"/>
          <w:szCs w:val="24"/>
        </w:rPr>
        <w:t>assay an</w:t>
      </w:r>
      <w:r w:rsidR="00FC6E2B">
        <w:rPr>
          <w:rFonts w:asciiTheme="majorBidi" w:hAnsiTheme="majorBidi" w:cstheme="majorBidi"/>
          <w:sz w:val="24"/>
          <w:szCs w:val="24"/>
        </w:rPr>
        <w:t>d flow cytometry show</w:t>
      </w:r>
      <w:r w:rsidR="0017504F" w:rsidRPr="0017504F">
        <w:rPr>
          <w:rFonts w:asciiTheme="majorBidi" w:hAnsiTheme="majorBidi" w:cstheme="majorBidi"/>
          <w:sz w:val="24"/>
          <w:szCs w:val="24"/>
        </w:rPr>
        <w:t xml:space="preserve"> that this protein has an inhibitory effect on the cancer cells proliferation and reduced viability and induced apoptosis in AGS cell lines.</w:t>
      </w:r>
    </w:p>
    <w:p w:rsidR="008C5FA2" w:rsidRPr="008C5FA2" w:rsidRDefault="008C5FA2" w:rsidP="008C5FA2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980209">
        <w:rPr>
          <w:rFonts w:ascii="Times New Roman" w:hAnsi="Times New Roman" w:cs="Times New Roman"/>
          <w:b/>
          <w:bCs/>
          <w:sz w:val="24"/>
          <w:szCs w:val="24"/>
          <w:lang w:bidi="fa-IR"/>
        </w:rPr>
        <w:t>Key words:</w:t>
      </w:r>
      <w:r>
        <w:rPr>
          <w:rFonts w:ascii="Times New Roman" w:hAnsi="Times New Roman" w:cs="Times New Roman"/>
          <w:b/>
          <w:bCs/>
          <w:sz w:val="24"/>
          <w:szCs w:val="24"/>
          <w:lang w:bidi="fa-IR"/>
        </w:rPr>
        <w:t xml:space="preserve"> </w:t>
      </w:r>
      <w:r w:rsidRPr="008C5FA2">
        <w:rPr>
          <w:rFonts w:ascii="Times New Roman" w:hAnsi="Times New Roman" w:cs="Times New Roman"/>
          <w:sz w:val="24"/>
          <w:szCs w:val="24"/>
          <w:lang w:bidi="fa-IR"/>
        </w:rPr>
        <w:t>S100A8/S100A9, calprotectin, apoptosis</w:t>
      </w:r>
      <w:r w:rsidR="000F076C">
        <w:rPr>
          <w:rFonts w:ascii="Times New Roman" w:hAnsi="Times New Roman" w:cs="Times New Roman"/>
          <w:sz w:val="24"/>
          <w:szCs w:val="24"/>
          <w:lang w:bidi="fa-IR"/>
        </w:rPr>
        <w:t>, gastric cancer</w:t>
      </w:r>
    </w:p>
    <w:sectPr w:rsidR="008C5FA2" w:rsidRPr="008C5FA2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0C2E" w:rsidRDefault="00A30C2E" w:rsidP="008C5FA2">
      <w:pPr>
        <w:spacing w:after="0" w:line="240" w:lineRule="auto"/>
      </w:pPr>
      <w:r>
        <w:separator/>
      </w:r>
    </w:p>
  </w:endnote>
  <w:endnote w:type="continuationSeparator" w:id="0">
    <w:p w:rsidR="00A30C2E" w:rsidRDefault="00A30C2E" w:rsidP="008C5F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0C2E" w:rsidRDefault="00A30C2E" w:rsidP="008C5FA2">
      <w:pPr>
        <w:spacing w:after="0" w:line="240" w:lineRule="auto"/>
      </w:pPr>
      <w:r>
        <w:separator/>
      </w:r>
    </w:p>
  </w:footnote>
  <w:footnote w:type="continuationSeparator" w:id="0">
    <w:p w:rsidR="00A30C2E" w:rsidRDefault="00A30C2E" w:rsidP="008C5F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5FA2" w:rsidRDefault="008C5FA2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D4457B2" wp14:editId="21E52E78">
          <wp:simplePos x="0" y="0"/>
          <wp:positionH relativeFrom="column">
            <wp:posOffset>5667375</wp:posOffset>
          </wp:positionH>
          <wp:positionV relativeFrom="paragraph">
            <wp:posOffset>-371475</wp:posOffset>
          </wp:positionV>
          <wp:extent cx="1038225" cy="822960"/>
          <wp:effectExtent l="0" t="0" r="9525" b="0"/>
          <wp:wrapSquare wrapText="bothSides"/>
          <wp:docPr id="1" name="Picture 1" descr="https://media.sarpoosh.com/images/article/picture/university-isfahan0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media.sarpoosh.com/images/article/picture/university-isfahan0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5233" b="9242"/>
                  <a:stretch>
                    <a:fillRect/>
                  </a:stretch>
                </pic:blipFill>
                <pic:spPr bwMode="auto">
                  <a:xfrm>
                    <a:off x="0" y="0"/>
                    <a:ext cx="1038225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30FA8837" wp14:editId="164865F9">
          <wp:simplePos x="0" y="0"/>
          <wp:positionH relativeFrom="column">
            <wp:posOffset>-723900</wp:posOffset>
          </wp:positionH>
          <wp:positionV relativeFrom="paragraph">
            <wp:posOffset>-438150</wp:posOffset>
          </wp:positionV>
          <wp:extent cx="932815" cy="889635"/>
          <wp:effectExtent l="0" t="0" r="635" b="5715"/>
          <wp:wrapSquare wrapText="bothSides"/>
          <wp:docPr id="2" name="Picture 2" descr="آرم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آرم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910" t="15642" r="3391"/>
                  <a:stretch>
                    <a:fillRect/>
                  </a:stretch>
                </pic:blipFill>
                <pic:spPr bwMode="auto">
                  <a:xfrm>
                    <a:off x="0" y="0"/>
                    <a:ext cx="932815" cy="889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504F"/>
    <w:rsid w:val="000F076C"/>
    <w:rsid w:val="0017504F"/>
    <w:rsid w:val="008C5FA2"/>
    <w:rsid w:val="00966B85"/>
    <w:rsid w:val="00A30C2E"/>
    <w:rsid w:val="00BA164E"/>
    <w:rsid w:val="00FC6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0E010D"/>
  <w15:chartTrackingRefBased/>
  <w15:docId w15:val="{DBA4755C-13C5-4CB4-B4D9-315675198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504F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750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8C5F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5FA2"/>
  </w:style>
  <w:style w:type="paragraph" w:styleId="Footer">
    <w:name w:val="footer"/>
    <w:basedOn w:val="Normal"/>
    <w:link w:val="FooterChar"/>
    <w:uiPriority w:val="99"/>
    <w:unhideWhenUsed/>
    <w:rsid w:val="008C5F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5F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FDM</dc:creator>
  <cp:keywords/>
  <dc:description/>
  <cp:lastModifiedBy>FDM</cp:lastModifiedBy>
  <cp:revision>4</cp:revision>
  <cp:lastPrinted>2019-04-16T15:17:00Z</cp:lastPrinted>
  <dcterms:created xsi:type="dcterms:W3CDTF">2019-04-16T12:34:00Z</dcterms:created>
  <dcterms:modified xsi:type="dcterms:W3CDTF">2019-04-16T15:18:00Z</dcterms:modified>
</cp:coreProperties>
</file>